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Businessplan &amp; Wachstumsstrategie (v0.1)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Initiative KI4KS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1. Ausgangslage &amp; Initiales Setup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Die Initiative startet aus einer Position der Stärke: Das Produkt ist durch 6 Pilotkunden validiert.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Initiales Kapital: 90.000 € (60.000 € Kundenumsatz + 30.000 € Gründer-Investment).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Proof of Concept: Die 6 Kunden haben jeweils 10.000 € investiert (75% für Use-Case-Entwicklung, 25% für geteilte Infrastruktur).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Kernteam: 1 Geschäftsführer (Sales/Admin), 1 Vollzeit-Plattformentwickler, 1 Solution Customer Expert (Integration), flankiert von 2 externen Use-Case-Entwicklern.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2. Das Geschäftsmodell (Revenue Streams)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Das Preismodell ist dreistufig aufgebaut, um operative Kosten sofort zu decken und Skalierungseffekte zu nutzen: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Setup-Fee (Einmalig): Deckt den Ressourcenaufwand für das Onboarding und die Anbindung spezifischer Schnittstellen ab. Diese Gebühr ist variabel und skaliert mit der Komplexität des Kunden-Setups.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Pay-per-Token / Pay-per-Use (Wiederkehrend): Ein nutzungsbasiertes Modell, das die variablen Infrastrukturkosten (aktuell ca. 30 € pro Test-Kunde) plus eine feste Marge abdeckt.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Value-Based Pricing (Upside / Profit-Sharing): Perspektivisch: Eine Beteiligung (z.B. 20%) an den durch den Use Case nachweislich eingesparten Kosten beim Kunden.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3. Personal &amp; Kostenstruktur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Um die in der Verfassung verankerten Werte ("Gemeinwohl &amp; Teamfokus") zu leben, wird ein solidarisches Gehaltsmodell angewandt: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Solidarische Basisentlohnung: 2.000 € Netto-Grundgehalt plus 500 € Netto-Zuschlag pro unterhaltsberechtigtem Kind. (Dies entspricht ca. 4.000 - 4.500 € Arbeitgeberkosten).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Overhead: Der monatliche Grundbetrieb (Lizenzen, Steuern, Tools) startet bei 1.500 € und skaliert prozentual zum Umsatz.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Die Differenz zum Marktwert der Entwickler wird über das "Wertpunkte-System" (Gewinn- und Projektbeteiligung) kompensiert.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4. Wachstums-Szenarien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Um das Ziel von 100-200 Kunden in 24 Monaten zu erreichen, stehen zwei strategische Pfade zur Diskussion, die den Kapitalbedarf definieren.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Szenario A: Moderates Wachstum (Bootstrapped / Cashflow-Fokus)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Ziel: Schnellstmögliche Profitabilität ("Cashflow positive"). Fokus auf organisches Wachstum im DACH-Raum über das Netzwerk der Pilotkunden und öffentliche Träger.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Finanzierung: Verzicht auf VC-Geld. Nutzung der Piloten als wiederkehrende Auftraggeber. Ggf. Aufnahme von Bankkrediten (Ziel-Verzinsung 5%) oder Einbindung Stiller Teilhaber aus dem Kunden-Beirat (Ziel-Rendite max. 10% p.a.).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Team-Strategie: Vorsichtiger Aufbau des Sales-Teams. Externe Entwickler werden entweder durch Setup-Fees der Kunden 1:1 durchgereicht oder in das Wertpunkte-System konvertiert, um die Burn-Rate zu senken.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Szenario B: Aggressives Wachstum (Investor-Driven)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Ziel: Maximale Geschwindigkeit und Marktanteile. Erreichen der 200-Kunden-Marke durch massiven Aufbau eines dedizierten Sales- und Marketing-Teams ab Monat 1.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Finanzierung: Aufnahme von Wagniskapital (Venture Capital / Business Angels). Die Investoren erwarten einen Exit oder eine Gewinnausschüttung, die einem Faktor 10x auf ihr Kapital nach 5 Jahren entspricht.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Team-Strategie: Die Burn-Rate wird bewusst hochgehalten. Entwickler, Customer-Experts und Sales-Mitarbeiter werden aggressiv eingestellt, um die Use-Case-Bibliothek und das Onboarding exponentiell zu skalieren.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